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07A" w:rsidRPr="00C619FC" w:rsidRDefault="007C1495" w:rsidP="00C619FC">
      <w:pPr>
        <w:pStyle w:val="NormalWeb"/>
        <w:spacing w:before="0" w:beforeAutospacing="0" w:after="0" w:afterAutospacing="0" w:line="480" w:lineRule="auto"/>
        <w:rPr>
          <w:color w:val="0E101A"/>
        </w:rPr>
      </w:pPr>
      <w:r w:rsidRPr="00C619FC">
        <w:rPr>
          <w:color w:val="0E101A"/>
        </w:rPr>
        <w:t>Name</w:t>
      </w:r>
    </w:p>
    <w:p w:rsidR="00BE7661" w:rsidRPr="00C619FC" w:rsidRDefault="007C1495" w:rsidP="00C619FC">
      <w:pPr>
        <w:pStyle w:val="NormalWeb"/>
        <w:spacing w:before="0" w:beforeAutospacing="0" w:after="0" w:afterAutospacing="0" w:line="480" w:lineRule="auto"/>
        <w:rPr>
          <w:color w:val="0E101A"/>
        </w:rPr>
      </w:pPr>
      <w:r w:rsidRPr="00C619FC">
        <w:rPr>
          <w:color w:val="0E101A"/>
        </w:rPr>
        <w:t>Instructor</w:t>
      </w:r>
    </w:p>
    <w:p w:rsidR="002B307A" w:rsidRPr="00C619FC" w:rsidRDefault="007C1495" w:rsidP="00C619FC">
      <w:pPr>
        <w:pStyle w:val="NormalWeb"/>
        <w:spacing w:before="0" w:beforeAutospacing="0" w:after="0" w:afterAutospacing="0" w:line="480" w:lineRule="auto"/>
        <w:rPr>
          <w:color w:val="0E101A"/>
        </w:rPr>
      </w:pPr>
      <w:r w:rsidRPr="00C619FC">
        <w:rPr>
          <w:color w:val="0E101A"/>
        </w:rPr>
        <w:t xml:space="preserve">Course </w:t>
      </w:r>
    </w:p>
    <w:p w:rsidR="002B307A" w:rsidRPr="00C619FC" w:rsidRDefault="007C1495" w:rsidP="00C619FC">
      <w:pPr>
        <w:pStyle w:val="NormalWeb"/>
        <w:spacing w:before="0" w:beforeAutospacing="0" w:after="0" w:afterAutospacing="0" w:line="480" w:lineRule="auto"/>
        <w:rPr>
          <w:color w:val="0E101A"/>
        </w:rPr>
      </w:pPr>
      <w:r w:rsidRPr="00C619FC">
        <w:rPr>
          <w:color w:val="0E101A"/>
        </w:rPr>
        <w:t>Date</w:t>
      </w:r>
    </w:p>
    <w:p w:rsidR="009068C0" w:rsidRPr="00C619FC" w:rsidRDefault="009068C0" w:rsidP="00C619FC">
      <w:pPr>
        <w:pStyle w:val="NormalWeb"/>
        <w:spacing w:before="0" w:beforeAutospacing="0" w:after="0" w:afterAutospacing="0" w:line="480" w:lineRule="auto"/>
        <w:ind w:firstLine="720"/>
        <w:rPr>
          <w:color w:val="0E101A"/>
        </w:rPr>
      </w:pPr>
    </w:p>
    <w:p w:rsidR="009068C0" w:rsidRPr="00C619FC" w:rsidRDefault="007C1495" w:rsidP="00C619FC">
      <w:pPr>
        <w:pStyle w:val="NormalWeb"/>
        <w:spacing w:before="0" w:beforeAutospacing="0" w:after="0" w:afterAutospacing="0" w:line="480" w:lineRule="auto"/>
        <w:jc w:val="center"/>
        <w:rPr>
          <w:b/>
          <w:color w:val="0E101A"/>
        </w:rPr>
      </w:pPr>
      <w:r w:rsidRPr="00C619FC">
        <w:rPr>
          <w:b/>
          <w:color w:val="0E101A"/>
        </w:rPr>
        <w:t xml:space="preserve">Consumption </w:t>
      </w:r>
      <w:r w:rsidR="00381070" w:rsidRPr="00C619FC">
        <w:rPr>
          <w:b/>
          <w:color w:val="0E101A"/>
        </w:rPr>
        <w:t>after</w:t>
      </w:r>
      <w:r w:rsidRPr="00C619FC">
        <w:rPr>
          <w:b/>
          <w:color w:val="0E101A"/>
        </w:rPr>
        <w:t xml:space="preserve"> COVID-19</w:t>
      </w:r>
    </w:p>
    <w:p w:rsidR="002C4C91" w:rsidRPr="00C619FC" w:rsidRDefault="007C1495" w:rsidP="00C619FC">
      <w:pPr>
        <w:pStyle w:val="NormalWeb"/>
        <w:spacing w:before="0" w:beforeAutospacing="0" w:after="0" w:afterAutospacing="0" w:line="480" w:lineRule="auto"/>
        <w:jc w:val="center"/>
        <w:rPr>
          <w:b/>
          <w:color w:val="0E101A"/>
        </w:rPr>
      </w:pPr>
      <w:r w:rsidRPr="00C619FC">
        <w:rPr>
          <w:b/>
          <w:color w:val="0E101A"/>
        </w:rPr>
        <w:t>Introduction</w:t>
      </w:r>
    </w:p>
    <w:p w:rsidR="00DA254E" w:rsidRPr="00C619FC" w:rsidRDefault="007C1495" w:rsidP="00C619FC">
      <w:pPr>
        <w:pStyle w:val="NormalWeb"/>
        <w:spacing w:before="0" w:beforeAutospacing="0" w:after="0" w:afterAutospacing="0" w:line="480" w:lineRule="auto"/>
        <w:ind w:firstLine="720"/>
        <w:rPr>
          <w:color w:val="0E101A"/>
        </w:rPr>
      </w:pPr>
      <w:r w:rsidRPr="00C619FC">
        <w:rPr>
          <w:color w:val="0E101A"/>
        </w:rPr>
        <w:t>COVID-19 pandemic has led to an unprecedented consumption effect across countries that overturned long-standing consumer behavior</w:t>
      </w:r>
      <w:r w:rsidR="00120D45" w:rsidRPr="00C619FC">
        <w:rPr>
          <w:color w:val="0E101A"/>
        </w:rPr>
        <w:t xml:space="preserve">s. Consumer spending is a significant economic activity, which </w:t>
      </w:r>
      <w:r w:rsidRPr="00C619FC">
        <w:rPr>
          <w:color w:val="0E101A"/>
        </w:rPr>
        <w:t xml:space="preserve">collapsed as the pandemic ravaged countries early last year. This </w:t>
      </w:r>
      <w:r w:rsidR="000A3BF3" w:rsidRPr="00C619FC">
        <w:rPr>
          <w:color w:val="0E101A"/>
        </w:rPr>
        <w:t>occurrence</w:t>
      </w:r>
      <w:r w:rsidRPr="00C619FC">
        <w:rPr>
          <w:color w:val="0E101A"/>
        </w:rPr>
        <w:t xml:space="preserve"> forced consumers to reinvent their spending habits. Contrastingly, companies were forced to rethink and transform th</w:t>
      </w:r>
      <w:r w:rsidRPr="00C619FC">
        <w:rPr>
          <w:color w:val="0E101A"/>
        </w:rPr>
        <w:t>eir business models, whereas governments were obligated to adjust regulations to cushion their citizens. Although the Covid-19 pandemic has affected individuals and regions in infinitely different ways, the economies' effect has been utterly uneven. Employ</w:t>
      </w:r>
      <w:r w:rsidRPr="00C619FC">
        <w:rPr>
          <w:color w:val="0E101A"/>
        </w:rPr>
        <w:t xml:space="preserve">ees who have performed their duties from home have maintained their positions and pay, accruing more savings. In contrast, </w:t>
      </w:r>
      <w:r w:rsidR="00A50483" w:rsidRPr="00C619FC">
        <w:rPr>
          <w:color w:val="0E101A"/>
        </w:rPr>
        <w:t xml:space="preserve">others lost their jobs and were </w:t>
      </w:r>
      <w:r w:rsidRPr="00C619FC">
        <w:rPr>
          <w:color w:val="0E101A"/>
        </w:rPr>
        <w:t>forced to cut back on expenditure such as travel restrictions, lockdowns, and health fears</w:t>
      </w:r>
      <w:r w:rsidR="002B4659" w:rsidRPr="00C619FC">
        <w:rPr>
          <w:color w:val="0E101A"/>
        </w:rPr>
        <w:t xml:space="preserve"> (</w:t>
      </w:r>
      <w:r w:rsidR="004939D4" w:rsidRPr="00C619FC">
        <w:rPr>
          <w:color w:val="222222"/>
          <w:shd w:val="clear" w:color="auto" w:fill="FFFFFF"/>
        </w:rPr>
        <w:t>Chauhan and Shah 0992</w:t>
      </w:r>
      <w:r w:rsidR="002B4659" w:rsidRPr="00C619FC">
        <w:rPr>
          <w:color w:val="0E101A"/>
        </w:rPr>
        <w:t>)</w:t>
      </w:r>
      <w:r w:rsidRPr="00C619FC">
        <w:rPr>
          <w:color w:val="0E101A"/>
        </w:rPr>
        <w:t>.</w:t>
      </w:r>
      <w:r w:rsidR="002C4C91" w:rsidRPr="00C619FC">
        <w:rPr>
          <w:color w:val="0E101A"/>
        </w:rPr>
        <w:t xml:space="preserve"> The literature will expound on consumer spending after Covid-19</w:t>
      </w:r>
    </w:p>
    <w:p w:rsidR="00DA254E" w:rsidRPr="00C619FC" w:rsidRDefault="007C1495" w:rsidP="00C619FC">
      <w:pPr>
        <w:pStyle w:val="NormalWeb"/>
        <w:spacing w:before="0" w:beforeAutospacing="0" w:after="0" w:afterAutospacing="0" w:line="480" w:lineRule="auto"/>
        <w:ind w:firstLine="720"/>
        <w:rPr>
          <w:color w:val="0E101A"/>
        </w:rPr>
      </w:pPr>
      <w:r w:rsidRPr="00C619FC">
        <w:rPr>
          <w:color w:val="0E101A"/>
        </w:rPr>
        <w:t>Although there are reasons to be positive for a robust recovery in consumer spending behavior post-COVID-19 due to suppressed demand and substantial amassed savings, like many o</w:t>
      </w:r>
      <w:r w:rsidRPr="00C619FC">
        <w:rPr>
          <w:color w:val="0E101A"/>
        </w:rPr>
        <w:t xml:space="preserve">ther </w:t>
      </w:r>
      <w:r w:rsidR="00A50483" w:rsidRPr="00C619FC">
        <w:rPr>
          <w:color w:val="0E101A"/>
        </w:rPr>
        <w:t>disasters</w:t>
      </w:r>
      <w:r w:rsidRPr="00C619FC">
        <w:rPr>
          <w:color w:val="0E101A"/>
        </w:rPr>
        <w:t xml:space="preserve"> experienced in the past, the pandemic will leave permanent marks. Therefore, understanding what this effect means for consumer behaviors and the recovery in their spending habits is a critical factor towards the global economic rescue</w:t>
      </w:r>
      <w:r w:rsidR="00045F12" w:rsidRPr="00C619FC">
        <w:rPr>
          <w:color w:val="0E101A"/>
        </w:rPr>
        <w:t xml:space="preserve"> (</w:t>
      </w:r>
      <w:r w:rsidR="004939D4" w:rsidRPr="00C619FC">
        <w:rPr>
          <w:color w:val="222222"/>
          <w:shd w:val="clear" w:color="auto" w:fill="FFFFFF"/>
        </w:rPr>
        <w:t>Mehta</w:t>
      </w:r>
      <w:r w:rsidR="00045F12" w:rsidRPr="00C619FC">
        <w:rPr>
          <w:color w:val="0E101A"/>
        </w:rPr>
        <w:t xml:space="preserve"> et al.</w:t>
      </w:r>
      <w:r w:rsidR="004939D4" w:rsidRPr="00C619FC">
        <w:rPr>
          <w:color w:val="0E101A"/>
        </w:rPr>
        <w:t xml:space="preserve"> 293</w:t>
      </w:r>
      <w:r w:rsidR="00045F12" w:rsidRPr="00C619FC">
        <w:rPr>
          <w:color w:val="0E101A"/>
        </w:rPr>
        <w:t>)</w:t>
      </w:r>
      <w:r w:rsidRPr="00C619FC">
        <w:rPr>
          <w:color w:val="0E101A"/>
        </w:rPr>
        <w:t xml:space="preserve">. A reflection of </w:t>
      </w:r>
      <w:r w:rsidRPr="00C619FC">
        <w:rPr>
          <w:color w:val="0E101A"/>
        </w:rPr>
        <w:lastRenderedPageBreak/>
        <w:t>divergent sentiments is expected and reflected in the spending extent among consumers. Consumers are expected to shift their expenses to essentials while cutting back on a majority of discretionary goods. Consumers worldwide h</w:t>
      </w:r>
      <w:r w:rsidRPr="00C619FC">
        <w:rPr>
          <w:color w:val="0E101A"/>
        </w:rPr>
        <w:t>ave reacted to this pandemic and the disruptions associated with it by reverting to normal consumer habits. This means that they try out different shopping behaviors expressing a high determination to incorporate these habits moving forward.</w:t>
      </w:r>
    </w:p>
    <w:p w:rsidR="00DA254E" w:rsidRPr="00C619FC" w:rsidRDefault="00A50483" w:rsidP="00C619FC">
      <w:pPr>
        <w:pStyle w:val="NormalWeb"/>
        <w:spacing w:before="0" w:beforeAutospacing="0" w:after="0" w:afterAutospacing="0" w:line="480" w:lineRule="auto"/>
        <w:ind w:firstLine="720"/>
        <w:rPr>
          <w:color w:val="0E101A"/>
        </w:rPr>
      </w:pPr>
      <w:r w:rsidRPr="00C619FC">
        <w:rPr>
          <w:color w:val="0E101A"/>
        </w:rPr>
        <w:t xml:space="preserve">Additionally, consumption post-COVID-19 </w:t>
      </w:r>
      <w:r w:rsidR="00544D1A" w:rsidRPr="00C619FC">
        <w:rPr>
          <w:color w:val="0E101A"/>
        </w:rPr>
        <w:t>has</w:t>
      </w:r>
      <w:r w:rsidRPr="00C619FC">
        <w:rPr>
          <w:color w:val="0E101A"/>
        </w:rPr>
        <w:t xml:space="preserve"> </w:t>
      </w:r>
      <w:r w:rsidR="007C1495" w:rsidRPr="00C619FC">
        <w:rPr>
          <w:color w:val="0E101A"/>
        </w:rPr>
        <w:t>be</w:t>
      </w:r>
      <w:r w:rsidRPr="00C619FC">
        <w:rPr>
          <w:color w:val="0E101A"/>
        </w:rPr>
        <w:t>en</w:t>
      </w:r>
      <w:r w:rsidR="007C1495" w:rsidRPr="00C619FC">
        <w:rPr>
          <w:color w:val="0E101A"/>
        </w:rPr>
        <w:t xml:space="preserve"> dramatically influenced by commodity pricing, given the consumer's expense thoughtfulness</w:t>
      </w:r>
      <w:r w:rsidRPr="00C619FC">
        <w:rPr>
          <w:color w:val="0E101A"/>
        </w:rPr>
        <w:t xml:space="preserve"> and</w:t>
      </w:r>
      <w:r w:rsidRPr="00C619FC">
        <w:rPr>
          <w:i/>
          <w:color w:val="0E101A"/>
        </w:rPr>
        <w:t xml:space="preserve"> communism</w:t>
      </w:r>
      <w:r w:rsidR="007C1495" w:rsidRPr="00C619FC">
        <w:rPr>
          <w:color w:val="0E101A"/>
        </w:rPr>
        <w:t>. The other top-cited drivers for consumer decisions are availability and convenience. However, purpose and quality ar</w:t>
      </w:r>
      <w:r w:rsidR="007C1495" w:rsidRPr="00C619FC">
        <w:rPr>
          <w:color w:val="0E101A"/>
        </w:rPr>
        <w:t>e equally important when consumers choose new brands</w:t>
      </w:r>
      <w:r w:rsidR="001110CB" w:rsidRPr="00C619FC">
        <w:rPr>
          <w:color w:val="0E101A"/>
        </w:rPr>
        <w:t xml:space="preserve"> (</w:t>
      </w:r>
      <w:r w:rsidR="004939D4" w:rsidRPr="00C619FC">
        <w:rPr>
          <w:color w:val="222222"/>
          <w:shd w:val="clear" w:color="auto" w:fill="FFFFFF"/>
        </w:rPr>
        <w:t>Mehta</w:t>
      </w:r>
      <w:r w:rsidR="001110CB" w:rsidRPr="00C619FC">
        <w:rPr>
          <w:color w:val="222222"/>
          <w:shd w:val="clear" w:color="auto" w:fill="FFFFFF"/>
        </w:rPr>
        <w:t xml:space="preserve"> et al.</w:t>
      </w:r>
      <w:r w:rsidR="004939D4" w:rsidRPr="00C619FC">
        <w:rPr>
          <w:color w:val="222222"/>
          <w:shd w:val="clear" w:color="auto" w:fill="FFFFFF"/>
        </w:rPr>
        <w:t xml:space="preserve"> 298</w:t>
      </w:r>
      <w:r w:rsidR="001110CB" w:rsidRPr="00C619FC">
        <w:rPr>
          <w:color w:val="0E101A"/>
        </w:rPr>
        <w:t>)</w:t>
      </w:r>
      <w:r w:rsidR="007C1495" w:rsidRPr="00C619FC">
        <w:rPr>
          <w:color w:val="0E101A"/>
        </w:rPr>
        <w:t>.</w:t>
      </w:r>
    </w:p>
    <w:p w:rsidR="0070404F" w:rsidRPr="00C619FC" w:rsidRDefault="007C1495" w:rsidP="00C619FC">
      <w:pPr>
        <w:pStyle w:val="NormalWeb"/>
        <w:spacing w:before="0" w:beforeAutospacing="0" w:after="0" w:afterAutospacing="0" w:line="480" w:lineRule="auto"/>
        <w:ind w:firstLine="720"/>
        <w:rPr>
          <w:color w:val="0E101A"/>
        </w:rPr>
      </w:pPr>
      <w:r w:rsidRPr="00C619FC">
        <w:rPr>
          <w:color w:val="0E101A"/>
        </w:rPr>
        <w:t>Remarkably, some chances post COVID-19 economies will fundamentally differ from what preceded them the more prolonged the pandemic lasts a</w:t>
      </w:r>
      <w:r w:rsidR="00D97AE4" w:rsidRPr="00C619FC">
        <w:rPr>
          <w:color w:val="0E101A"/>
        </w:rPr>
        <w:t>nd becomes more intense and</w:t>
      </w:r>
      <w:r w:rsidRPr="00C619FC">
        <w:rPr>
          <w:color w:val="0E101A"/>
        </w:rPr>
        <w:t xml:space="preserve"> profound. If the</w:t>
      </w:r>
      <w:r w:rsidRPr="00C619FC">
        <w:rPr>
          <w:i/>
          <w:color w:val="0E101A"/>
        </w:rPr>
        <w:t xml:space="preserve"> </w:t>
      </w:r>
      <w:r w:rsidRPr="00C619FC">
        <w:rPr>
          <w:i/>
          <w:color w:val="0E101A"/>
        </w:rPr>
        <w:t xml:space="preserve">consumer price index </w:t>
      </w:r>
      <w:r w:rsidRPr="00C619FC">
        <w:rPr>
          <w:color w:val="0E101A"/>
        </w:rPr>
        <w:t xml:space="preserve">is </w:t>
      </w:r>
      <w:r w:rsidR="00544D1A" w:rsidRPr="00C619FC">
        <w:rPr>
          <w:color w:val="0E101A"/>
        </w:rPr>
        <w:t>altered,</w:t>
      </w:r>
      <w:r w:rsidRPr="00C619FC">
        <w:rPr>
          <w:color w:val="0E101A"/>
        </w:rPr>
        <w:t xml:space="preserve"> then this may have an impact on consumer preferences. With a shift in consumer preferences in response to the pandemic, some sectors and firms are likely to shut down completely</w:t>
      </w:r>
      <w:r w:rsidR="004939D4" w:rsidRPr="00C619FC">
        <w:rPr>
          <w:color w:val="0E101A"/>
        </w:rPr>
        <w:t xml:space="preserve"> (Zwanka and </w:t>
      </w:r>
      <w:r w:rsidR="004939D4" w:rsidRPr="00C619FC">
        <w:rPr>
          <w:color w:val="222222"/>
          <w:shd w:val="clear" w:color="auto" w:fill="FFFFFF"/>
        </w:rPr>
        <w:t>Buff</w:t>
      </w:r>
      <w:r w:rsidR="004939D4" w:rsidRPr="00C619FC">
        <w:rPr>
          <w:color w:val="0E101A"/>
        </w:rPr>
        <w:t xml:space="preserve"> 59</w:t>
      </w:r>
      <w:r w:rsidR="006738D0" w:rsidRPr="00C619FC">
        <w:rPr>
          <w:color w:val="0E101A"/>
        </w:rPr>
        <w:t>)</w:t>
      </w:r>
      <w:r w:rsidRPr="00C619FC">
        <w:rPr>
          <w:color w:val="0E101A"/>
        </w:rPr>
        <w:t xml:space="preserve">. In this case, these </w:t>
      </w:r>
      <w:r w:rsidRPr="00C619FC">
        <w:rPr>
          <w:color w:val="0E101A"/>
        </w:rPr>
        <w:t>economies are more likely to enter a</w:t>
      </w:r>
      <w:r w:rsidRPr="00C619FC">
        <w:rPr>
          <w:i/>
          <w:color w:val="0E101A"/>
        </w:rPr>
        <w:t xml:space="preserve"> recession</w:t>
      </w:r>
      <w:r w:rsidRPr="00C619FC">
        <w:rPr>
          <w:color w:val="0E101A"/>
        </w:rPr>
        <w:t>. Trying to support these firms fiscally on a rolling basis will eventually formulate unsustainable sectors and mismatch joblessness.</w:t>
      </w:r>
    </w:p>
    <w:p w:rsidR="0070404F" w:rsidRPr="00C619FC" w:rsidRDefault="007C1495" w:rsidP="00C619FC">
      <w:pPr>
        <w:pStyle w:val="NormalWeb"/>
        <w:spacing w:before="0" w:beforeAutospacing="0" w:after="0" w:afterAutospacing="0" w:line="480" w:lineRule="auto"/>
        <w:ind w:firstLine="720"/>
        <w:rPr>
          <w:color w:val="0E101A"/>
        </w:rPr>
      </w:pPr>
      <w:r w:rsidRPr="00C619FC">
        <w:rPr>
          <w:color w:val="0E101A"/>
        </w:rPr>
        <w:t xml:space="preserve">Consequently, concerns are rising due to the existing uttermost </w:t>
      </w:r>
      <w:r w:rsidRPr="00C619FC">
        <w:rPr>
          <w:i/>
          <w:color w:val="0E101A"/>
        </w:rPr>
        <w:t>liquidity</w:t>
      </w:r>
      <w:r w:rsidRPr="00C619FC">
        <w:rPr>
          <w:color w:val="0E101A"/>
        </w:rPr>
        <w:t xml:space="preserve"> pr</w:t>
      </w:r>
      <w:r w:rsidRPr="00C619FC">
        <w:rPr>
          <w:color w:val="0E101A"/>
        </w:rPr>
        <w:t xml:space="preserve">esent in </w:t>
      </w:r>
      <w:r w:rsidRPr="00C619FC">
        <w:rPr>
          <w:rStyle w:val="Emphasis"/>
          <w:color w:val="0E101A"/>
        </w:rPr>
        <w:t>liability markets</w:t>
      </w:r>
      <w:r w:rsidRPr="00C619FC">
        <w:rPr>
          <w:color w:val="0E101A"/>
        </w:rPr>
        <w:t xml:space="preserve"> and the supplementary commercial debt projection that continues to build up. A recent study conducted in a sample of 1500 families in Spain, France, Germany, Netherlands, and Italy asking them their post-COVID-19 consumption habi</w:t>
      </w:r>
      <w:r w:rsidRPr="00C619FC">
        <w:rPr>
          <w:color w:val="0E101A"/>
        </w:rPr>
        <w:t>ts in five significant sectors, namely; services, retail, public transport, tourism, and hospitality, indicated a substantial reduction of consumption across all industries</w:t>
      </w:r>
      <w:r w:rsidR="00B52BFE" w:rsidRPr="00C619FC">
        <w:rPr>
          <w:color w:val="0E101A"/>
        </w:rPr>
        <w:t xml:space="preserve"> (</w:t>
      </w:r>
      <w:r w:rsidR="001536EA" w:rsidRPr="00C619FC">
        <w:rPr>
          <w:color w:val="222222"/>
          <w:shd w:val="clear" w:color="auto" w:fill="FFFFFF"/>
        </w:rPr>
        <w:t xml:space="preserve">Zwanka </w:t>
      </w:r>
      <w:r w:rsidR="004939D4" w:rsidRPr="00C619FC">
        <w:rPr>
          <w:color w:val="222222"/>
          <w:shd w:val="clear" w:color="auto" w:fill="FFFFFF"/>
        </w:rPr>
        <w:t>and Buff</w:t>
      </w:r>
      <w:r w:rsidR="00B52BFE" w:rsidRPr="00C619FC">
        <w:rPr>
          <w:color w:val="222222"/>
          <w:shd w:val="clear" w:color="auto" w:fill="FFFFFF"/>
        </w:rPr>
        <w:t xml:space="preserve"> </w:t>
      </w:r>
      <w:r w:rsidR="004939D4" w:rsidRPr="00C619FC">
        <w:rPr>
          <w:color w:val="222222"/>
          <w:shd w:val="clear" w:color="auto" w:fill="FFFFFF"/>
        </w:rPr>
        <w:t>61</w:t>
      </w:r>
      <w:r w:rsidR="00B52BFE" w:rsidRPr="00C619FC">
        <w:rPr>
          <w:color w:val="0E101A"/>
        </w:rPr>
        <w:t>)</w:t>
      </w:r>
      <w:r w:rsidRPr="00C619FC">
        <w:rPr>
          <w:color w:val="0E101A"/>
        </w:rPr>
        <w:t>. They explained that the principal reasons behind the</w:t>
      </w:r>
      <w:r w:rsidR="002C4C91" w:rsidRPr="00C619FC">
        <w:rPr>
          <w:color w:val="0E101A"/>
        </w:rPr>
        <w:t xml:space="preserve"> decrease in expenditure were </w:t>
      </w:r>
      <w:r w:rsidRPr="00C619FC">
        <w:rPr>
          <w:color w:val="0E101A"/>
        </w:rPr>
        <w:t xml:space="preserve">financial constraints, lack of </w:t>
      </w:r>
      <w:r w:rsidR="00AF39D3" w:rsidRPr="00C619FC">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2962910</wp:posOffset>
                </wp:positionV>
                <wp:extent cx="5943600" cy="635"/>
                <wp:effectExtent l="0" t="0" r="0" b="0"/>
                <wp:wrapThrough wrapText="bothSides">
                  <wp:wrapPolygon edited="0">
                    <wp:start x="0" y="0"/>
                    <wp:lineTo x="0" y="21600"/>
                    <wp:lineTo x="21600" y="21600"/>
                    <wp:lineTo x="21600"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a:effectLst/>
                      </wps:spPr>
                      <wps:txbx>
                        <w:txbxContent>
                          <w:p w:rsidR="00AF39D3" w:rsidRPr="00624022" w:rsidRDefault="007C1495" w:rsidP="00AF39D3">
                            <w:pPr>
                              <w:pStyle w:val="Caption"/>
                              <w:rPr>
                                <w:rFonts w:ascii="Times New Roman" w:eastAsia="Times New Roman" w:hAnsi="Times New Roman" w:cs="Times New Roman"/>
                                <w:color w:val="0E101A"/>
                                <w:sz w:val="24"/>
                                <w:szCs w:val="24"/>
                              </w:rPr>
                            </w:pPr>
                            <w:r>
                              <w:t xml:space="preserve">Figure </w:t>
                            </w:r>
                            <w:r>
                              <w:fldChar w:fldCharType="begin"/>
                            </w:r>
                            <w:r>
                              <w:instrText xml:space="preserve"> SEQ Figure \* ARABIC </w:instrText>
                            </w:r>
                            <w:r>
                              <w:fldChar w:fldCharType="separate"/>
                            </w:r>
                            <w:r>
                              <w:rPr>
                                <w:noProof/>
                              </w:rPr>
                              <w:t>1</w:t>
                            </w:r>
                            <w:r>
                              <w:rPr>
                                <w:noProof/>
                              </w:rPr>
                              <w:fldChar w:fldCharType="end"/>
                            </w:r>
                            <w:r>
                              <w:t>: World Pandemic Uncertainty Index.</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5" o:spid="_x0000_s1025" type="#_x0000_t202" style="width:468pt;height:0.05pt;margin-top:233.3pt;margin-left:0;mso-wrap-distance-bottom:0;mso-wrap-distance-left:9pt;mso-wrap-distance-right:9pt;mso-wrap-distance-top:0;mso-wrap-style:square;position:absolute;visibility:visible;v-text-anchor:top;z-index:251663360" stroked="f">
                <v:textbox style="mso-fit-shape-to-text:t" inset="0,0,0,0">
                  <w:txbxContent>
                    <w:p w:rsidR="00AF39D3" w:rsidRPr="00624022" w:rsidP="00AF39D3">
                      <w:pPr>
                        <w:pStyle w:val="Caption"/>
                        <w:rPr>
                          <w:rFonts w:ascii="Times New Roman" w:eastAsia="Times New Roman" w:hAnsi="Times New Roman" w:cs="Times New Roman"/>
                          <w:color w:val="0E101A"/>
                          <w:sz w:val="24"/>
                          <w:szCs w:val="24"/>
                        </w:rPr>
                      </w:pPr>
                      <w:r>
                        <w:t xml:space="preserve">Figure </w:t>
                      </w:r>
                      <w:r>
                        <w:fldChar w:fldCharType="begin"/>
                      </w:r>
                      <w:r>
                        <w:instrText xml:space="preserve"> SEQ Figure \* ARABIC </w:instrText>
                      </w:r>
                      <w:r>
                        <w:fldChar w:fldCharType="separate"/>
                      </w:r>
                      <w:r>
                        <w:rPr>
                          <w:noProof/>
                        </w:rPr>
                        <w:t>1</w:t>
                      </w:r>
                      <w:r>
                        <w:fldChar w:fldCharType="end"/>
                      </w:r>
                      <w:r>
                        <w:t>: World Pandemic Uncertainty Index.</w:t>
                      </w:r>
                    </w:p>
                  </w:txbxContent>
                </v:textbox>
                <w10:wrap type="through"/>
              </v:shape>
            </w:pict>
          </mc:Fallback>
        </mc:AlternateContent>
      </w:r>
      <w:r w:rsidR="00033D13" w:rsidRPr="00C619FC">
        <w:rPr>
          <w:noProof/>
          <w:color w:val="0E101A"/>
        </w:rPr>
        <w:drawing>
          <wp:anchor distT="0" distB="0" distL="114300" distR="114300" simplePos="0" relativeHeight="251661312" behindDoc="1" locked="0" layoutInCell="1" allowOverlap="1">
            <wp:simplePos x="0" y="0"/>
            <wp:positionH relativeFrom="margin">
              <wp:align>right</wp:align>
            </wp:positionH>
            <wp:positionV relativeFrom="paragraph">
              <wp:posOffset>616148</wp:posOffset>
            </wp:positionV>
            <wp:extent cx="5943600" cy="2289810"/>
            <wp:effectExtent l="0" t="0" r="0" b="0"/>
            <wp:wrapThrough wrapText="bothSides">
              <wp:wrapPolygon edited="0">
                <wp:start x="0" y="0"/>
                <wp:lineTo x="0" y="21384"/>
                <wp:lineTo x="21531" y="21384"/>
                <wp:lineTo x="2153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edgraph (1).png"/>
                    <pic:cNvPicPr/>
                  </pic:nvPicPr>
                  <pic:blipFill>
                    <a:blip r:embed="rId6">
                      <a:extLst>
                        <a:ext uri="{28A0092B-C50C-407E-A947-70E740481C1C}">
                          <a14:useLocalDpi xmlns:a14="http://schemas.microsoft.com/office/drawing/2010/main" val="0"/>
                        </a:ext>
                      </a:extLst>
                    </a:blip>
                    <a:stretch>
                      <a:fillRect/>
                    </a:stretch>
                  </pic:blipFill>
                  <pic:spPr>
                    <a:xfrm>
                      <a:off x="0" y="0"/>
                      <a:ext cx="5943600" cy="2289810"/>
                    </a:xfrm>
                    <a:prstGeom prst="rect">
                      <a:avLst/>
                    </a:prstGeom>
                  </pic:spPr>
                </pic:pic>
              </a:graphicData>
            </a:graphic>
          </wp:anchor>
        </w:drawing>
      </w:r>
      <w:r w:rsidRPr="00C619FC">
        <w:rPr>
          <w:color w:val="0E101A"/>
        </w:rPr>
        <w:t>Assurance</w:t>
      </w:r>
      <w:r w:rsidR="00B44B04" w:rsidRPr="00C619FC">
        <w:rPr>
          <w:color w:val="0E101A"/>
        </w:rPr>
        <w:t xml:space="preserve"> and uncertainty</w:t>
      </w:r>
      <w:r w:rsidRPr="00C619FC">
        <w:rPr>
          <w:color w:val="0E101A"/>
        </w:rPr>
        <w:t xml:space="preserve"> in the future encouraged a rise in cautionary </w:t>
      </w:r>
      <w:r w:rsidRPr="00C619FC">
        <w:rPr>
          <w:rStyle w:val="Emphasis"/>
          <w:color w:val="0E101A"/>
        </w:rPr>
        <w:t>disposable income</w:t>
      </w:r>
      <w:r w:rsidRPr="00C619FC">
        <w:rPr>
          <w:color w:val="0E101A"/>
        </w:rPr>
        <w:t> savings</w:t>
      </w:r>
      <w:r w:rsidR="0070404F" w:rsidRPr="00C619FC">
        <w:rPr>
          <w:color w:val="0E101A"/>
        </w:rPr>
        <w:t xml:space="preserve"> (See fig.1)</w:t>
      </w:r>
      <w:r w:rsidR="007E26F4" w:rsidRPr="00C619FC">
        <w:rPr>
          <w:color w:val="0E101A"/>
        </w:rPr>
        <w:t>.</w:t>
      </w:r>
    </w:p>
    <w:p w:rsidR="00E31AF3" w:rsidRPr="00C619FC" w:rsidRDefault="007C1495" w:rsidP="00C619FC">
      <w:pPr>
        <w:pStyle w:val="NormalWeb"/>
        <w:spacing w:before="0" w:beforeAutospacing="0" w:after="0" w:afterAutospacing="0" w:line="480" w:lineRule="auto"/>
        <w:rPr>
          <w:color w:val="0E101A"/>
        </w:rPr>
      </w:pPr>
      <w:r w:rsidRPr="00C619FC">
        <w:rPr>
          <w:noProof/>
          <w:color w:val="0E101A"/>
        </w:rPr>
        <w:drawing>
          <wp:anchor distT="0" distB="0" distL="114300" distR="114300" simplePos="0" relativeHeight="251658240" behindDoc="1" locked="0" layoutInCell="1" allowOverlap="1">
            <wp:simplePos x="0" y="0"/>
            <wp:positionH relativeFrom="margin">
              <wp:align>right</wp:align>
            </wp:positionH>
            <wp:positionV relativeFrom="page">
              <wp:posOffset>5651054</wp:posOffset>
            </wp:positionV>
            <wp:extent cx="5943600" cy="228981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edgraph.png"/>
                    <pic:cNvPicPr/>
                  </pic:nvPicPr>
                  <pic:blipFill>
                    <a:blip r:embed="rId7">
                      <a:extLst>
                        <a:ext uri="{28A0092B-C50C-407E-A947-70E740481C1C}">
                          <a14:useLocalDpi xmlns:a14="http://schemas.microsoft.com/office/drawing/2010/main" val="0"/>
                        </a:ext>
                      </a:extLst>
                    </a:blip>
                    <a:stretch>
                      <a:fillRect/>
                    </a:stretch>
                  </pic:blipFill>
                  <pic:spPr>
                    <a:xfrm>
                      <a:off x="0" y="0"/>
                      <a:ext cx="5943600" cy="2289810"/>
                    </a:xfrm>
                    <a:prstGeom prst="rect">
                      <a:avLst/>
                    </a:prstGeom>
                  </pic:spPr>
                </pic:pic>
              </a:graphicData>
            </a:graphic>
          </wp:anchor>
        </w:drawing>
      </w:r>
      <w:r w:rsidR="007E26F4" w:rsidRPr="00C619FC">
        <w:rPr>
          <w:color w:val="0E101A"/>
        </w:rPr>
        <w:t>Embracing</w:t>
      </w:r>
      <w:r w:rsidR="00DA254E" w:rsidRPr="00C619FC">
        <w:rPr>
          <w:color w:val="0E101A"/>
        </w:rPr>
        <w:t xml:space="preserve"> online options, risks of infection and lasting shifts in preferences resulting from lockdowns</w:t>
      </w:r>
      <w:r w:rsidR="007E26F4" w:rsidRPr="00C619FC">
        <w:rPr>
          <w:color w:val="0E101A"/>
        </w:rPr>
        <w:t xml:space="preserve"> were also among their reasons</w:t>
      </w:r>
      <w:r w:rsidR="00DA254E" w:rsidRPr="00C619FC">
        <w:rPr>
          <w:color w:val="0E101A"/>
        </w:rPr>
        <w:t xml:space="preserve">. Similarly, this occurrence has also been experienced in the United States, seeing a reduction in personal consumption expenditures </w:t>
      </w:r>
      <w:r w:rsidR="003F7659" w:rsidRPr="00C619FC">
        <w:rPr>
          <w:color w:val="0E101A"/>
        </w:rPr>
        <w:t xml:space="preserve">immediately </w:t>
      </w:r>
      <w:r w:rsidR="005D1EE1" w:rsidRPr="00C619FC">
        <w:rPr>
          <w:color w:val="0E101A"/>
        </w:rPr>
        <w:t>after the pandemic hit (</w:t>
      </w:r>
      <w:r w:rsidR="0070404F" w:rsidRPr="00C619FC">
        <w:rPr>
          <w:color w:val="0E101A"/>
        </w:rPr>
        <w:t>see fig.2</w:t>
      </w:r>
      <w:r w:rsidR="005D1EE1" w:rsidRPr="00C619FC">
        <w:rPr>
          <w:color w:val="0E101A"/>
        </w:rPr>
        <w:t>).</w:t>
      </w:r>
      <w:r w:rsidR="00DA254E" w:rsidRPr="00C619FC">
        <w:rPr>
          <w:color w:val="0E101A"/>
        </w:rPr>
        <w:t xml:space="preserve"> </w:t>
      </w:r>
    </w:p>
    <w:p w:rsidR="00033D13" w:rsidRPr="00C619FC" w:rsidRDefault="007C1495" w:rsidP="00C619FC">
      <w:pPr>
        <w:pStyle w:val="NormalWeb"/>
        <w:spacing w:before="0" w:beforeAutospacing="0" w:after="0" w:afterAutospacing="0" w:line="480" w:lineRule="auto"/>
        <w:ind w:firstLine="720"/>
        <w:rPr>
          <w:color w:val="0E101A"/>
        </w:rPr>
      </w:pPr>
      <w:r w:rsidRPr="00C619FC">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ge">
                  <wp:posOffset>8145079</wp:posOffset>
                </wp:positionV>
                <wp:extent cx="5943600" cy="26670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5943600" cy="266700"/>
                        </a:xfrm>
                        <a:prstGeom prst="rect">
                          <a:avLst/>
                        </a:prstGeom>
                        <a:solidFill>
                          <a:prstClr val="white"/>
                        </a:solidFill>
                        <a:ln>
                          <a:noFill/>
                        </a:ln>
                        <a:effectLst/>
                      </wps:spPr>
                      <wps:txbx>
                        <w:txbxContent>
                          <w:p w:rsidR="00033D13" w:rsidRDefault="007C1495" w:rsidP="00033D13">
                            <w:pPr>
                              <w:pStyle w:val="Caption"/>
                            </w:pPr>
                            <w:r>
                              <w:t>Figure 2: Personal</w:t>
                            </w:r>
                            <w:r w:rsidR="00A00C34">
                              <w:t xml:space="preserve"> Consumption (PCE).</w:t>
                            </w: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 o:spid="_x0000_s1026" type="#_x0000_t202" style="width:468pt;height:21pt;margin-top:641.35pt;margin-left:416.8pt;mso-position-horizontal:right;mso-position-horizontal-relative:margin;mso-position-vertical-relative:page;mso-wrap-distance-bottom:0;mso-wrap-distance-left:9pt;mso-wrap-distance-right:9pt;mso-wrap-distance-top:0;mso-wrap-style:square;position:absolute;visibility:visible;v-text-anchor:top;z-index:251660288" stroked="f">
                <v:textbox style="mso-fit-shape-to-text:t" inset="0,0,0,0">
                  <w:txbxContent>
                    <w:p w:rsidR="00033D13" w:rsidP="00033D13">
                      <w:pPr>
                        <w:pStyle w:val="Caption"/>
                      </w:pPr>
                      <w:r>
                        <w:t>Figure 2: Personal</w:t>
                      </w:r>
                      <w:r w:rsidR="00A00C34">
                        <w:t xml:space="preserve"> Consumption (PCE).</w:t>
                      </w:r>
                      <w:r>
                        <w:t xml:space="preserve"> </w:t>
                      </w:r>
                    </w:p>
                  </w:txbxContent>
                </v:textbox>
                <w10:wrap type="topAndBottom"/>
              </v:shape>
            </w:pict>
          </mc:Fallback>
        </mc:AlternateContent>
      </w:r>
    </w:p>
    <w:p w:rsidR="00DA1505" w:rsidRPr="00C619FC" w:rsidRDefault="00DA1505" w:rsidP="00C619FC">
      <w:pPr>
        <w:pStyle w:val="NormalWeb"/>
        <w:spacing w:before="0" w:beforeAutospacing="0" w:after="0" w:afterAutospacing="0" w:line="480" w:lineRule="auto"/>
        <w:rPr>
          <w:color w:val="0E101A"/>
        </w:rPr>
      </w:pPr>
    </w:p>
    <w:p w:rsidR="00DA254E" w:rsidRPr="00C619FC" w:rsidRDefault="007C1495" w:rsidP="00C619FC">
      <w:pPr>
        <w:pStyle w:val="NormalWeb"/>
        <w:spacing w:before="0" w:beforeAutospacing="0" w:after="0" w:afterAutospacing="0" w:line="480" w:lineRule="auto"/>
        <w:ind w:firstLine="720"/>
        <w:rPr>
          <w:color w:val="0E101A"/>
        </w:rPr>
      </w:pPr>
      <w:r w:rsidRPr="00C619FC">
        <w:rPr>
          <w:color w:val="0E101A"/>
        </w:rPr>
        <w:lastRenderedPageBreak/>
        <w:t>It is essential to</w:t>
      </w:r>
      <w:r w:rsidR="00D82FF2" w:rsidRPr="00C619FC">
        <w:rPr>
          <w:color w:val="0E101A"/>
        </w:rPr>
        <w:t xml:space="preserve"> reflect upon how consumers perform </w:t>
      </w:r>
      <w:r w:rsidRPr="00C619FC">
        <w:rPr>
          <w:color w:val="0E101A"/>
        </w:rPr>
        <w:t xml:space="preserve">their purchases beyond how much clients are consuming. A significant number of the research subjects </w:t>
      </w:r>
      <w:r w:rsidRPr="00C619FC">
        <w:rPr>
          <w:color w:val="0E101A"/>
        </w:rPr>
        <w:t>indicated that the reduction of shopping at stores and malls was attributed to online options availability. Therefore, as the pandemic be</w:t>
      </w:r>
      <w:r w:rsidR="003316D5" w:rsidRPr="00C619FC">
        <w:rPr>
          <w:color w:val="0E101A"/>
        </w:rPr>
        <w:t xml:space="preserve">comes persistent, consumers </w:t>
      </w:r>
      <w:r w:rsidRPr="00C619FC">
        <w:rPr>
          <w:color w:val="0E101A"/>
        </w:rPr>
        <w:t>become habituated to this new wave of consumption, which in the long run could lead to a sh</w:t>
      </w:r>
      <w:r w:rsidRPr="00C619FC">
        <w:rPr>
          <w:color w:val="0E101A"/>
        </w:rPr>
        <w:t>ift in the retail zone away from physical shops. Subsequently, the fraction of consumers reporting a reduction in their expenditure habits than before the C</w:t>
      </w:r>
      <w:r w:rsidR="008F72EF" w:rsidRPr="00C619FC">
        <w:rPr>
          <w:color w:val="0E101A"/>
        </w:rPr>
        <w:t>O</w:t>
      </w:r>
      <w:r w:rsidRPr="00C619FC">
        <w:rPr>
          <w:color w:val="0E101A"/>
        </w:rPr>
        <w:t>VID-19 pandemic outb</w:t>
      </w:r>
      <w:r w:rsidR="003316D5" w:rsidRPr="00C619FC">
        <w:rPr>
          <w:color w:val="0E101A"/>
        </w:rPr>
        <w:t xml:space="preserve">reak is somehow associated with </w:t>
      </w:r>
      <w:r w:rsidRPr="00C619FC">
        <w:rPr>
          <w:color w:val="0E101A"/>
        </w:rPr>
        <w:t>the number of deaths and personal infection exp</w:t>
      </w:r>
      <w:r w:rsidRPr="00C619FC">
        <w:rPr>
          <w:color w:val="0E101A"/>
        </w:rPr>
        <w:t>e</w:t>
      </w:r>
      <w:r w:rsidR="001F667B" w:rsidRPr="00C619FC">
        <w:rPr>
          <w:color w:val="0E101A"/>
        </w:rPr>
        <w:t xml:space="preserve">riences. </w:t>
      </w:r>
      <w:r w:rsidR="001F667B" w:rsidRPr="00C619FC">
        <w:rPr>
          <w:color w:val="222222"/>
          <w:shd w:val="clear" w:color="auto" w:fill="FFFFFF"/>
        </w:rPr>
        <w:t xml:space="preserve">Kim </w:t>
      </w:r>
      <w:r w:rsidRPr="00C619FC">
        <w:rPr>
          <w:color w:val="0E101A"/>
        </w:rPr>
        <w:t xml:space="preserve">used the </w:t>
      </w:r>
      <w:r w:rsidR="00544D1A" w:rsidRPr="00C619FC">
        <w:rPr>
          <w:color w:val="0E101A"/>
        </w:rPr>
        <w:t>profit</w:t>
      </w:r>
      <w:r w:rsidRPr="00C619FC">
        <w:rPr>
          <w:color w:val="0E101A"/>
        </w:rPr>
        <w:t xml:space="preserve"> regression models and established that gender is the only socioeconomic consumer characteristic significantly and consistently related to consumption variations</w:t>
      </w:r>
      <w:r w:rsidR="00661A9E" w:rsidRPr="00C619FC">
        <w:rPr>
          <w:color w:val="0E101A"/>
        </w:rPr>
        <w:t xml:space="preserve"> (</w:t>
      </w:r>
      <w:r w:rsidR="004939D4" w:rsidRPr="00C619FC">
        <w:rPr>
          <w:color w:val="0E101A"/>
        </w:rPr>
        <w:t>215</w:t>
      </w:r>
      <w:r w:rsidR="00661A9E" w:rsidRPr="00C619FC">
        <w:rPr>
          <w:color w:val="0E101A"/>
        </w:rPr>
        <w:t>)</w:t>
      </w:r>
      <w:r w:rsidRPr="00C619FC">
        <w:rPr>
          <w:color w:val="0E101A"/>
        </w:rPr>
        <w:t xml:space="preserve">. </w:t>
      </w:r>
      <w:r w:rsidR="002C4C91" w:rsidRPr="00C619FC">
        <w:rPr>
          <w:color w:val="0E101A"/>
        </w:rPr>
        <w:t>Besides, a</w:t>
      </w:r>
      <w:r w:rsidRPr="00C619FC">
        <w:rPr>
          <w:color w:val="0E101A"/>
        </w:rPr>
        <w:t>verage socioeconomic consumer characteristics li</w:t>
      </w:r>
      <w:r w:rsidRPr="00C619FC">
        <w:rPr>
          <w:color w:val="0E101A"/>
        </w:rPr>
        <w:t xml:space="preserve">ke age, income, employment positions, and education play an insignificant role. Instead, behavioral aspects such as psychological influences and macroeconomic expectations are influential illustrative factors influencing the drop in consumption across the </w:t>
      </w:r>
      <w:r w:rsidRPr="00C619FC">
        <w:rPr>
          <w:color w:val="0E101A"/>
        </w:rPr>
        <w:t>sectors.</w:t>
      </w:r>
    </w:p>
    <w:p w:rsidR="00AC625F" w:rsidRPr="00C619FC" w:rsidRDefault="007C1495" w:rsidP="00C619FC">
      <w:pPr>
        <w:pStyle w:val="NormalWeb"/>
        <w:spacing w:before="0" w:beforeAutospacing="0" w:after="0" w:afterAutospacing="0" w:line="480" w:lineRule="auto"/>
        <w:jc w:val="center"/>
        <w:rPr>
          <w:b/>
          <w:color w:val="0E101A"/>
        </w:rPr>
      </w:pPr>
      <w:r w:rsidRPr="00C619FC">
        <w:rPr>
          <w:b/>
          <w:color w:val="0E101A"/>
        </w:rPr>
        <w:t>Conclusion</w:t>
      </w:r>
    </w:p>
    <w:p w:rsidR="00DA254E" w:rsidRPr="00C619FC" w:rsidRDefault="007C1495" w:rsidP="00C619FC">
      <w:pPr>
        <w:pStyle w:val="NormalWeb"/>
        <w:spacing w:before="0" w:beforeAutospacing="0" w:after="0" w:afterAutospacing="0" w:line="480" w:lineRule="auto"/>
        <w:ind w:firstLine="720"/>
        <w:rPr>
          <w:color w:val="0E101A"/>
        </w:rPr>
      </w:pPr>
      <w:r w:rsidRPr="00C619FC">
        <w:rPr>
          <w:color w:val="0E101A"/>
        </w:rPr>
        <w:t xml:space="preserve">Notwithstanding the latest positive vaccine milestone and drive, indeed, the risk of infection will still exist for some time. Nevertheless, governments should begin plotting policy paths out of the pandemic and in the direction of a </w:t>
      </w:r>
      <w:r w:rsidRPr="00C619FC">
        <w:rPr>
          <w:color w:val="0E101A"/>
        </w:rPr>
        <w:t>new post-COVID-19 equilibrium. Policymakers should keep in mind two factors to ease the transition. First, the indicators of long-term changes from the research should aid as a caution against upholding broad-based parallel fiscal funding to businesses for</w:t>
      </w:r>
      <w:r w:rsidRPr="00C619FC">
        <w:rPr>
          <w:color w:val="0E101A"/>
        </w:rPr>
        <w:t xml:space="preserve"> a prolonged period</w:t>
      </w:r>
      <w:r w:rsidR="009B0C7A" w:rsidRPr="00C619FC">
        <w:rPr>
          <w:color w:val="0E101A"/>
        </w:rPr>
        <w:t xml:space="preserve"> (</w:t>
      </w:r>
      <w:r w:rsidR="004939D4" w:rsidRPr="00C619FC">
        <w:rPr>
          <w:color w:val="222222"/>
          <w:shd w:val="clear" w:color="auto" w:fill="FFFFFF"/>
        </w:rPr>
        <w:t>Baker</w:t>
      </w:r>
      <w:r w:rsidR="004939D4" w:rsidRPr="00C619FC">
        <w:rPr>
          <w:color w:val="0E101A"/>
        </w:rPr>
        <w:t xml:space="preserve"> </w:t>
      </w:r>
      <w:r w:rsidR="009B0C7A" w:rsidRPr="00C619FC">
        <w:rPr>
          <w:color w:val="0E101A"/>
        </w:rPr>
        <w:t>et al.</w:t>
      </w:r>
      <w:r w:rsidR="004939D4" w:rsidRPr="00C619FC">
        <w:rPr>
          <w:color w:val="0E101A"/>
        </w:rPr>
        <w:t xml:space="preserve"> 843</w:t>
      </w:r>
      <w:r w:rsidR="009B0C7A" w:rsidRPr="00C619FC">
        <w:rPr>
          <w:color w:val="0E101A"/>
        </w:rPr>
        <w:t>)</w:t>
      </w:r>
      <w:r w:rsidRPr="00C619FC">
        <w:rPr>
          <w:color w:val="0E101A"/>
        </w:rPr>
        <w:t>. Consumer habits and preferences are likely to change given the level of shock and the understanding of the experience. Therefore, the post-</w:t>
      </w:r>
      <w:r w:rsidR="003316D5" w:rsidRPr="00C619FC">
        <w:rPr>
          <w:color w:val="0E101A"/>
        </w:rPr>
        <w:t xml:space="preserve">pandemic equilibrium shift </w:t>
      </w:r>
      <w:r w:rsidR="00544D1A" w:rsidRPr="00C619FC">
        <w:rPr>
          <w:color w:val="0E101A"/>
        </w:rPr>
        <w:t>requires</w:t>
      </w:r>
      <w:r w:rsidR="003316D5" w:rsidRPr="00C619FC">
        <w:rPr>
          <w:color w:val="0E101A"/>
        </w:rPr>
        <w:t xml:space="preserve"> </w:t>
      </w:r>
      <w:r w:rsidR="00F3550A" w:rsidRPr="00C619FC">
        <w:rPr>
          <w:color w:val="0E101A"/>
        </w:rPr>
        <w:t xml:space="preserve">other obsolete companies to </w:t>
      </w:r>
      <w:r w:rsidRPr="00C619FC">
        <w:rPr>
          <w:color w:val="0E101A"/>
        </w:rPr>
        <w:t xml:space="preserve">leave the </w:t>
      </w:r>
      <w:r w:rsidRPr="00C619FC">
        <w:rPr>
          <w:color w:val="0E101A"/>
        </w:rPr>
        <w:t>market, specifically those with few</w:t>
      </w:r>
      <w:r w:rsidR="003316D5" w:rsidRPr="00C619FC">
        <w:rPr>
          <w:color w:val="0E101A"/>
        </w:rPr>
        <w:t xml:space="preserve">er consumer interests that may encourage </w:t>
      </w:r>
      <w:r w:rsidRPr="00C619FC">
        <w:rPr>
          <w:rStyle w:val="Emphasis"/>
          <w:color w:val="0E101A"/>
        </w:rPr>
        <w:t>deflation</w:t>
      </w:r>
      <w:r w:rsidR="003316D5" w:rsidRPr="00C619FC">
        <w:rPr>
          <w:rStyle w:val="Emphasis"/>
          <w:color w:val="0E101A"/>
        </w:rPr>
        <w:t xml:space="preserve"> </w:t>
      </w:r>
      <w:r w:rsidR="003316D5" w:rsidRPr="00C619FC">
        <w:rPr>
          <w:rStyle w:val="Emphasis"/>
          <w:i w:val="0"/>
          <w:color w:val="0E101A"/>
        </w:rPr>
        <w:t xml:space="preserve">to allow </w:t>
      </w:r>
      <w:r w:rsidR="003316D5" w:rsidRPr="00C619FC">
        <w:rPr>
          <w:rStyle w:val="Emphasis"/>
          <w:i w:val="0"/>
          <w:color w:val="0E101A"/>
        </w:rPr>
        <w:lastRenderedPageBreak/>
        <w:t>the</w:t>
      </w:r>
      <w:r w:rsidR="003316D5" w:rsidRPr="00C619FC">
        <w:rPr>
          <w:rStyle w:val="Emphasis"/>
          <w:color w:val="0E101A"/>
        </w:rPr>
        <w:t xml:space="preserve"> </w:t>
      </w:r>
      <w:r w:rsidRPr="00C619FC">
        <w:rPr>
          <w:color w:val="0E101A"/>
        </w:rPr>
        <w:t>reallocation of funds into segments that better echo consumer demand. Secondly, governments should seize their dual objectives of conserving economic prosper</w:t>
      </w:r>
      <w:r w:rsidRPr="00C619FC">
        <w:rPr>
          <w:color w:val="0E101A"/>
        </w:rPr>
        <w:t>ity and protecting their citizens from the risk of virus</w:t>
      </w:r>
      <w:r w:rsidR="00F3550A" w:rsidRPr="00C619FC">
        <w:rPr>
          <w:color w:val="0E101A"/>
        </w:rPr>
        <w:t>es</w:t>
      </w:r>
      <w:r w:rsidRPr="00C619FC">
        <w:rPr>
          <w:color w:val="0E101A"/>
        </w:rPr>
        <w:t xml:space="preserve"> as a trade-off until the health </w:t>
      </w:r>
      <w:r w:rsidR="00F3550A" w:rsidRPr="00C619FC">
        <w:rPr>
          <w:color w:val="0E101A"/>
        </w:rPr>
        <w:t>emergency has been contained</w:t>
      </w:r>
      <w:r w:rsidR="009B0C7A" w:rsidRPr="00C619FC">
        <w:rPr>
          <w:color w:val="0E101A"/>
        </w:rPr>
        <w:t xml:space="preserve">. </w:t>
      </w:r>
      <w:r w:rsidR="003D46CF" w:rsidRPr="00C619FC">
        <w:rPr>
          <w:color w:val="222222"/>
          <w:shd w:val="clear" w:color="auto" w:fill="FFFFFF"/>
        </w:rPr>
        <w:t>Baker</w:t>
      </w:r>
      <w:r w:rsidR="003D46CF" w:rsidRPr="00C619FC">
        <w:rPr>
          <w:color w:val="0E101A"/>
        </w:rPr>
        <w:t xml:space="preserve"> et al.</w:t>
      </w:r>
      <w:r w:rsidR="003D46CF">
        <w:rPr>
          <w:color w:val="0E101A"/>
        </w:rPr>
        <w:t xml:space="preserve"> (851) </w:t>
      </w:r>
      <w:r w:rsidR="009B0C7A" w:rsidRPr="00C619FC">
        <w:rPr>
          <w:color w:val="0E101A"/>
        </w:rPr>
        <w:t xml:space="preserve">suggest that governments </w:t>
      </w:r>
      <w:r w:rsidRPr="00C619FC">
        <w:rPr>
          <w:color w:val="0E101A"/>
        </w:rPr>
        <w:t>should focus more on controlling infection threats as a requirement to cost-effective protective p</w:t>
      </w:r>
      <w:r w:rsidRPr="00C619FC">
        <w:rPr>
          <w:color w:val="0E101A"/>
        </w:rPr>
        <w:t>rosperity.</w:t>
      </w:r>
    </w:p>
    <w:p w:rsidR="009068C0" w:rsidRPr="00C619FC" w:rsidRDefault="009068C0" w:rsidP="00C619FC">
      <w:pPr>
        <w:spacing w:line="480" w:lineRule="auto"/>
        <w:rPr>
          <w:rFonts w:ascii="Times New Roman" w:hAnsi="Times New Roman" w:cs="Times New Roman"/>
          <w:sz w:val="24"/>
          <w:szCs w:val="24"/>
        </w:rPr>
      </w:pPr>
    </w:p>
    <w:p w:rsidR="009068C0" w:rsidRPr="00C619FC" w:rsidRDefault="007C1495" w:rsidP="00C619FC">
      <w:pPr>
        <w:spacing w:line="480" w:lineRule="auto"/>
        <w:rPr>
          <w:rFonts w:ascii="Times New Roman" w:hAnsi="Times New Roman" w:cs="Times New Roman"/>
          <w:sz w:val="24"/>
          <w:szCs w:val="24"/>
        </w:rPr>
      </w:pPr>
      <w:r w:rsidRPr="00C619FC">
        <w:rPr>
          <w:rFonts w:ascii="Times New Roman" w:hAnsi="Times New Roman" w:cs="Times New Roman"/>
          <w:sz w:val="24"/>
          <w:szCs w:val="24"/>
        </w:rPr>
        <w:br w:type="page"/>
      </w:r>
    </w:p>
    <w:p w:rsidR="00BA14E3" w:rsidRPr="00C619FC" w:rsidRDefault="007C1495" w:rsidP="00C619FC">
      <w:pPr>
        <w:spacing w:line="480" w:lineRule="auto"/>
        <w:jc w:val="center"/>
        <w:rPr>
          <w:rFonts w:ascii="Times New Roman" w:hAnsi="Times New Roman" w:cs="Times New Roman"/>
          <w:b/>
          <w:sz w:val="24"/>
          <w:szCs w:val="24"/>
        </w:rPr>
      </w:pPr>
      <w:r w:rsidRPr="00C619FC">
        <w:rPr>
          <w:rFonts w:ascii="Times New Roman" w:hAnsi="Times New Roman" w:cs="Times New Roman"/>
          <w:b/>
          <w:sz w:val="24"/>
          <w:szCs w:val="24"/>
        </w:rPr>
        <w:lastRenderedPageBreak/>
        <w:t>Works Cited</w:t>
      </w:r>
    </w:p>
    <w:p w:rsidR="00382A8B" w:rsidRPr="00C619FC" w:rsidRDefault="007C1495" w:rsidP="00C619FC">
      <w:pPr>
        <w:spacing w:line="480" w:lineRule="auto"/>
        <w:ind w:left="720" w:hanging="720"/>
        <w:rPr>
          <w:rFonts w:ascii="Times New Roman" w:hAnsi="Times New Roman" w:cs="Times New Roman"/>
          <w:sz w:val="24"/>
          <w:szCs w:val="24"/>
        </w:rPr>
      </w:pPr>
      <w:r w:rsidRPr="00C619FC">
        <w:rPr>
          <w:rFonts w:ascii="Times New Roman" w:hAnsi="Times New Roman" w:cs="Times New Roman"/>
          <w:color w:val="222222"/>
          <w:sz w:val="24"/>
          <w:szCs w:val="24"/>
          <w:shd w:val="clear" w:color="auto" w:fill="FFFFFF"/>
        </w:rPr>
        <w:t>Chauhan, Vilas, and Ms Hee</w:t>
      </w:r>
      <w:bookmarkStart w:id="0" w:name="_GoBack"/>
      <w:bookmarkEnd w:id="0"/>
      <w:r w:rsidRPr="00C619FC">
        <w:rPr>
          <w:rFonts w:ascii="Times New Roman" w:hAnsi="Times New Roman" w:cs="Times New Roman"/>
          <w:color w:val="222222"/>
          <w:sz w:val="24"/>
          <w:szCs w:val="24"/>
          <w:shd w:val="clear" w:color="auto" w:fill="FFFFFF"/>
        </w:rPr>
        <w:t>r Shah. "</w:t>
      </w:r>
      <w:r w:rsidRPr="00C619FC">
        <w:rPr>
          <w:rFonts w:ascii="Times New Roman" w:hAnsi="Times New Roman" w:cs="Times New Roman"/>
          <w:i/>
          <w:color w:val="222222"/>
          <w:sz w:val="24"/>
          <w:szCs w:val="24"/>
          <w:shd w:val="clear" w:color="auto" w:fill="FFFFFF"/>
        </w:rPr>
        <w:t>An Empirical Analysis into Sentiments, Media Co</w:t>
      </w:r>
      <w:r w:rsidR="00161E63" w:rsidRPr="00C619FC">
        <w:rPr>
          <w:rFonts w:ascii="Times New Roman" w:hAnsi="Times New Roman" w:cs="Times New Roman"/>
          <w:i/>
          <w:color w:val="222222"/>
          <w:sz w:val="24"/>
          <w:szCs w:val="24"/>
          <w:shd w:val="clear" w:color="auto" w:fill="FFFFFF"/>
        </w:rPr>
        <w:t>nsumption Habits, and Consumer B</w:t>
      </w:r>
      <w:r w:rsidRPr="00C619FC">
        <w:rPr>
          <w:rFonts w:ascii="Times New Roman" w:hAnsi="Times New Roman" w:cs="Times New Roman"/>
          <w:i/>
          <w:color w:val="222222"/>
          <w:sz w:val="24"/>
          <w:szCs w:val="24"/>
          <w:shd w:val="clear" w:color="auto" w:fill="FFFFFF"/>
        </w:rPr>
        <w:t>ehaviour during the Coronavirus (COVID-19) Outbreak.</w:t>
      </w:r>
      <w:r w:rsidRPr="00C619FC">
        <w:rPr>
          <w:rFonts w:ascii="Times New Roman" w:hAnsi="Times New Roman" w:cs="Times New Roman"/>
          <w:color w:val="222222"/>
          <w:sz w:val="24"/>
          <w:szCs w:val="24"/>
          <w:shd w:val="clear" w:color="auto" w:fill="FFFFFF"/>
        </w:rPr>
        <w:t>" </w:t>
      </w:r>
      <w:r w:rsidRPr="00C619FC">
        <w:rPr>
          <w:rFonts w:ascii="Times New Roman" w:hAnsi="Times New Roman" w:cs="Times New Roman"/>
          <w:iCs/>
          <w:color w:val="222222"/>
          <w:sz w:val="24"/>
          <w:szCs w:val="24"/>
          <w:shd w:val="clear" w:color="auto" w:fill="FFFFFF"/>
        </w:rPr>
        <w:t>Purakala with ISSN</w:t>
      </w:r>
      <w:r w:rsidRPr="00C619FC">
        <w:rPr>
          <w:rFonts w:ascii="Times New Roman" w:hAnsi="Times New Roman" w:cs="Times New Roman"/>
          <w:color w:val="222222"/>
          <w:sz w:val="24"/>
          <w:szCs w:val="24"/>
          <w:shd w:val="clear" w:color="auto" w:fill="FFFFFF"/>
        </w:rPr>
        <w:t> (2020): 0971-2143.</w:t>
      </w:r>
    </w:p>
    <w:p w:rsidR="004939D4" w:rsidRPr="00C619FC" w:rsidRDefault="007C1495" w:rsidP="00C619FC">
      <w:pPr>
        <w:spacing w:line="480" w:lineRule="auto"/>
        <w:ind w:left="720" w:hanging="720"/>
        <w:rPr>
          <w:rFonts w:ascii="Times New Roman" w:hAnsi="Times New Roman" w:cs="Times New Roman"/>
          <w:color w:val="222222"/>
          <w:sz w:val="24"/>
          <w:szCs w:val="24"/>
          <w:shd w:val="clear" w:color="auto" w:fill="FFFFFF"/>
        </w:rPr>
      </w:pPr>
      <w:r w:rsidRPr="00C619FC">
        <w:rPr>
          <w:rFonts w:ascii="Times New Roman" w:hAnsi="Times New Roman" w:cs="Times New Roman"/>
          <w:color w:val="222222"/>
          <w:sz w:val="24"/>
          <w:szCs w:val="24"/>
          <w:shd w:val="clear" w:color="auto" w:fill="FFFFFF"/>
        </w:rPr>
        <w:t xml:space="preserve">Baker, Scott R., et al. </w:t>
      </w:r>
      <w:r w:rsidRPr="00C619FC">
        <w:rPr>
          <w:rFonts w:ascii="Times New Roman" w:hAnsi="Times New Roman" w:cs="Times New Roman"/>
          <w:color w:val="222222"/>
          <w:sz w:val="24"/>
          <w:szCs w:val="24"/>
          <w:shd w:val="clear" w:color="auto" w:fill="FFFFFF"/>
        </w:rPr>
        <w:t>"How does household spending respond to an epidemic? Consumption during the 2020 COVID-19 pandemic." </w:t>
      </w:r>
      <w:r w:rsidRPr="00C619FC">
        <w:rPr>
          <w:rFonts w:ascii="Times New Roman" w:hAnsi="Times New Roman" w:cs="Times New Roman"/>
          <w:i/>
          <w:iCs/>
          <w:color w:val="222222"/>
          <w:sz w:val="24"/>
          <w:szCs w:val="24"/>
          <w:shd w:val="clear" w:color="auto" w:fill="FFFFFF"/>
        </w:rPr>
        <w:t>The Review of Asset Pricing Studies</w:t>
      </w:r>
      <w:r w:rsidRPr="00C619FC">
        <w:rPr>
          <w:rFonts w:ascii="Times New Roman" w:hAnsi="Times New Roman" w:cs="Times New Roman"/>
          <w:color w:val="222222"/>
          <w:sz w:val="24"/>
          <w:szCs w:val="24"/>
          <w:shd w:val="clear" w:color="auto" w:fill="FFFFFF"/>
        </w:rPr>
        <w:t> 10.4 (2020): 834-862.</w:t>
      </w:r>
    </w:p>
    <w:p w:rsidR="00382A8B" w:rsidRPr="00C619FC" w:rsidRDefault="007C1495" w:rsidP="00C619FC">
      <w:pPr>
        <w:spacing w:line="480" w:lineRule="auto"/>
        <w:ind w:left="720" w:hanging="720"/>
        <w:rPr>
          <w:rFonts w:ascii="Times New Roman" w:hAnsi="Times New Roman" w:cs="Times New Roman"/>
          <w:color w:val="222222"/>
          <w:sz w:val="24"/>
          <w:szCs w:val="24"/>
          <w:shd w:val="clear" w:color="auto" w:fill="FFFFFF"/>
        </w:rPr>
      </w:pPr>
      <w:r w:rsidRPr="00C619FC">
        <w:rPr>
          <w:rFonts w:ascii="Times New Roman" w:hAnsi="Times New Roman" w:cs="Times New Roman"/>
          <w:color w:val="222222"/>
          <w:sz w:val="24"/>
          <w:szCs w:val="24"/>
          <w:shd w:val="clear" w:color="auto" w:fill="FFFFFF"/>
        </w:rPr>
        <w:t>Kim, Rae Yule. "</w:t>
      </w:r>
      <w:r w:rsidRPr="00C619FC">
        <w:rPr>
          <w:rFonts w:ascii="Times New Roman" w:hAnsi="Times New Roman" w:cs="Times New Roman"/>
          <w:i/>
          <w:color w:val="222222"/>
          <w:sz w:val="24"/>
          <w:szCs w:val="24"/>
          <w:shd w:val="clear" w:color="auto" w:fill="FFFFFF"/>
        </w:rPr>
        <w:t>The Impact of COVID-19 on Consumers: Preparing for Digital Sales</w:t>
      </w:r>
      <w:r w:rsidRPr="00C619FC">
        <w:rPr>
          <w:rFonts w:ascii="Times New Roman" w:hAnsi="Times New Roman" w:cs="Times New Roman"/>
          <w:color w:val="222222"/>
          <w:sz w:val="24"/>
          <w:szCs w:val="24"/>
          <w:shd w:val="clear" w:color="auto" w:fill="FFFFFF"/>
        </w:rPr>
        <w:t>." </w:t>
      </w:r>
      <w:r w:rsidRPr="00C619FC">
        <w:rPr>
          <w:rFonts w:ascii="Times New Roman" w:hAnsi="Times New Roman" w:cs="Times New Roman"/>
          <w:iCs/>
          <w:color w:val="222222"/>
          <w:sz w:val="24"/>
          <w:szCs w:val="24"/>
          <w:shd w:val="clear" w:color="auto" w:fill="FFFFFF"/>
        </w:rPr>
        <w:t>IEEE Engineeri</w:t>
      </w:r>
      <w:r w:rsidRPr="00C619FC">
        <w:rPr>
          <w:rFonts w:ascii="Times New Roman" w:hAnsi="Times New Roman" w:cs="Times New Roman"/>
          <w:iCs/>
          <w:color w:val="222222"/>
          <w:sz w:val="24"/>
          <w:szCs w:val="24"/>
          <w:shd w:val="clear" w:color="auto" w:fill="FFFFFF"/>
        </w:rPr>
        <w:t>ng Management Review</w:t>
      </w:r>
      <w:r w:rsidRPr="00C619FC">
        <w:rPr>
          <w:rFonts w:ascii="Times New Roman" w:hAnsi="Times New Roman" w:cs="Times New Roman"/>
          <w:color w:val="222222"/>
          <w:sz w:val="24"/>
          <w:szCs w:val="24"/>
          <w:shd w:val="clear" w:color="auto" w:fill="FFFFFF"/>
        </w:rPr>
        <w:t> 48.3 (2020): 212-218.</w:t>
      </w:r>
    </w:p>
    <w:p w:rsidR="004939D4" w:rsidRPr="00C619FC" w:rsidRDefault="007C1495" w:rsidP="00C619FC">
      <w:pPr>
        <w:spacing w:line="480" w:lineRule="auto"/>
        <w:ind w:left="720" w:hanging="720"/>
        <w:rPr>
          <w:rFonts w:ascii="Times New Roman" w:hAnsi="Times New Roman" w:cs="Times New Roman"/>
          <w:color w:val="222222"/>
          <w:sz w:val="24"/>
          <w:szCs w:val="24"/>
          <w:shd w:val="clear" w:color="auto" w:fill="FFFFFF"/>
        </w:rPr>
      </w:pPr>
      <w:r w:rsidRPr="00C619FC">
        <w:rPr>
          <w:rFonts w:ascii="Times New Roman" w:hAnsi="Times New Roman" w:cs="Times New Roman"/>
          <w:color w:val="222222"/>
          <w:sz w:val="24"/>
          <w:szCs w:val="24"/>
          <w:shd w:val="clear" w:color="auto" w:fill="FFFFFF"/>
        </w:rPr>
        <w:t>Mehta, Seema, Tanjul Saxena, and Neetu Purohit. "The New Consumer Behaviour Paradigm amid COVID-19: Permanent or Transient?." </w:t>
      </w:r>
      <w:r w:rsidRPr="00C619FC">
        <w:rPr>
          <w:rFonts w:ascii="Times New Roman" w:hAnsi="Times New Roman" w:cs="Times New Roman"/>
          <w:i/>
          <w:iCs/>
          <w:color w:val="222222"/>
          <w:sz w:val="24"/>
          <w:szCs w:val="24"/>
          <w:shd w:val="clear" w:color="auto" w:fill="FFFFFF"/>
        </w:rPr>
        <w:t>Journal of Health Management</w:t>
      </w:r>
      <w:r w:rsidRPr="00C619FC">
        <w:rPr>
          <w:rFonts w:ascii="Times New Roman" w:hAnsi="Times New Roman" w:cs="Times New Roman"/>
          <w:color w:val="222222"/>
          <w:sz w:val="24"/>
          <w:szCs w:val="24"/>
          <w:shd w:val="clear" w:color="auto" w:fill="FFFFFF"/>
        </w:rPr>
        <w:t> 22.2 (2020): 291-301.</w:t>
      </w:r>
    </w:p>
    <w:p w:rsidR="00382A8B" w:rsidRPr="00C619FC" w:rsidRDefault="007C1495" w:rsidP="00C619FC">
      <w:pPr>
        <w:spacing w:line="480" w:lineRule="auto"/>
        <w:ind w:left="720" w:hanging="720"/>
        <w:rPr>
          <w:rFonts w:ascii="Times New Roman" w:hAnsi="Times New Roman" w:cs="Times New Roman"/>
          <w:color w:val="222222"/>
          <w:sz w:val="24"/>
          <w:szCs w:val="24"/>
          <w:shd w:val="clear" w:color="auto" w:fill="FFFFFF"/>
        </w:rPr>
      </w:pPr>
      <w:r w:rsidRPr="00C619FC">
        <w:rPr>
          <w:rFonts w:ascii="Times New Roman" w:hAnsi="Times New Roman" w:cs="Times New Roman"/>
          <w:color w:val="222222"/>
          <w:sz w:val="24"/>
          <w:szCs w:val="24"/>
          <w:shd w:val="clear" w:color="auto" w:fill="FFFFFF"/>
        </w:rPr>
        <w:t>Zwanka, Russell J., and Cheryl Buff.</w:t>
      </w:r>
      <w:r w:rsidRPr="00C619FC">
        <w:rPr>
          <w:rFonts w:ascii="Times New Roman" w:hAnsi="Times New Roman" w:cs="Times New Roman"/>
          <w:color w:val="222222"/>
          <w:sz w:val="24"/>
          <w:szCs w:val="24"/>
          <w:shd w:val="clear" w:color="auto" w:fill="FFFFFF"/>
        </w:rPr>
        <w:t xml:space="preserve"> "COVID-19 generation: </w:t>
      </w:r>
      <w:r w:rsidRPr="00C619FC">
        <w:rPr>
          <w:rFonts w:ascii="Times New Roman" w:hAnsi="Times New Roman" w:cs="Times New Roman"/>
          <w:i/>
          <w:color w:val="222222"/>
          <w:sz w:val="24"/>
          <w:szCs w:val="24"/>
          <w:shd w:val="clear" w:color="auto" w:fill="FFFFFF"/>
        </w:rPr>
        <w:t>A Conceptual Framework of the Consumer Behavioral shifts to be caused by the COVID-19 Pandemic</w:t>
      </w:r>
      <w:r w:rsidRPr="00C619FC">
        <w:rPr>
          <w:rFonts w:ascii="Times New Roman" w:hAnsi="Times New Roman" w:cs="Times New Roman"/>
          <w:color w:val="222222"/>
          <w:sz w:val="24"/>
          <w:szCs w:val="24"/>
          <w:shd w:val="clear" w:color="auto" w:fill="FFFFFF"/>
        </w:rPr>
        <w:t>." </w:t>
      </w:r>
      <w:r w:rsidRPr="00C619FC">
        <w:rPr>
          <w:rFonts w:ascii="Times New Roman" w:hAnsi="Times New Roman" w:cs="Times New Roman"/>
          <w:iCs/>
          <w:color w:val="222222"/>
          <w:sz w:val="24"/>
          <w:szCs w:val="24"/>
          <w:shd w:val="clear" w:color="auto" w:fill="FFFFFF"/>
        </w:rPr>
        <w:t>Journal of International Consumer Marketing</w:t>
      </w:r>
      <w:r w:rsidRPr="00C619FC">
        <w:rPr>
          <w:rFonts w:ascii="Times New Roman" w:hAnsi="Times New Roman" w:cs="Times New Roman"/>
          <w:color w:val="222222"/>
          <w:sz w:val="24"/>
          <w:szCs w:val="24"/>
          <w:shd w:val="clear" w:color="auto" w:fill="FFFFFF"/>
        </w:rPr>
        <w:t> 33.1 (2021): 58-67.</w:t>
      </w:r>
    </w:p>
    <w:sectPr w:rsidR="00382A8B" w:rsidRPr="00C619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495" w:rsidRDefault="007C1495">
      <w:pPr>
        <w:spacing w:after="0" w:line="240" w:lineRule="auto"/>
      </w:pPr>
      <w:r>
        <w:separator/>
      </w:r>
    </w:p>
  </w:endnote>
  <w:endnote w:type="continuationSeparator" w:id="0">
    <w:p w:rsidR="007C1495" w:rsidRDefault="007C1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495" w:rsidRDefault="007C1495">
      <w:pPr>
        <w:spacing w:after="0" w:line="240" w:lineRule="auto"/>
      </w:pPr>
      <w:r>
        <w:separator/>
      </w:r>
    </w:p>
  </w:footnote>
  <w:footnote w:type="continuationSeparator" w:id="0">
    <w:p w:rsidR="007C1495" w:rsidRDefault="007C1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236" w:rsidRPr="002C4C91" w:rsidRDefault="007C1495">
    <w:pPr>
      <w:pStyle w:val="Header"/>
      <w:jc w:val="right"/>
      <w:rPr>
        <w:rFonts w:ascii="Times New Roman" w:hAnsi="Times New Roman" w:cs="Times New Roman"/>
        <w:sz w:val="24"/>
        <w:szCs w:val="24"/>
      </w:rPr>
    </w:pPr>
    <w:r w:rsidRPr="002C4C91">
      <w:rPr>
        <w:rFonts w:ascii="Times New Roman" w:hAnsi="Times New Roman" w:cs="Times New Roman"/>
        <w:sz w:val="24"/>
        <w:szCs w:val="24"/>
      </w:rPr>
      <w:t xml:space="preserve">Surname </w:t>
    </w:r>
    <w:sdt>
      <w:sdtPr>
        <w:rPr>
          <w:rFonts w:ascii="Times New Roman" w:hAnsi="Times New Roman" w:cs="Times New Roman"/>
          <w:sz w:val="24"/>
          <w:szCs w:val="24"/>
        </w:rPr>
        <w:id w:val="-2067322917"/>
        <w:docPartObj>
          <w:docPartGallery w:val="Page Numbers (Top of Page)"/>
          <w:docPartUnique/>
        </w:docPartObj>
      </w:sdtPr>
      <w:sdtEndPr>
        <w:rPr>
          <w:noProof/>
        </w:rPr>
      </w:sdtEndPr>
      <w:sdtContent>
        <w:r w:rsidRPr="002C4C91">
          <w:rPr>
            <w:rFonts w:ascii="Times New Roman" w:hAnsi="Times New Roman" w:cs="Times New Roman"/>
            <w:sz w:val="24"/>
            <w:szCs w:val="24"/>
          </w:rPr>
          <w:fldChar w:fldCharType="begin"/>
        </w:r>
        <w:r w:rsidRPr="002C4C91">
          <w:rPr>
            <w:rFonts w:ascii="Times New Roman" w:hAnsi="Times New Roman" w:cs="Times New Roman"/>
            <w:sz w:val="24"/>
            <w:szCs w:val="24"/>
          </w:rPr>
          <w:instrText xml:space="preserve"> PAGE   \* MERGEFORMAT </w:instrText>
        </w:r>
        <w:r w:rsidRPr="002C4C91">
          <w:rPr>
            <w:rFonts w:ascii="Times New Roman" w:hAnsi="Times New Roman" w:cs="Times New Roman"/>
            <w:sz w:val="24"/>
            <w:szCs w:val="24"/>
          </w:rPr>
          <w:fldChar w:fldCharType="separate"/>
        </w:r>
        <w:r w:rsidR="003D46CF">
          <w:rPr>
            <w:rFonts w:ascii="Times New Roman" w:hAnsi="Times New Roman" w:cs="Times New Roman"/>
            <w:noProof/>
            <w:sz w:val="24"/>
            <w:szCs w:val="24"/>
          </w:rPr>
          <w:t>2</w:t>
        </w:r>
        <w:r w:rsidRPr="002C4C91">
          <w:rPr>
            <w:rFonts w:ascii="Times New Roman" w:hAnsi="Times New Roman" w:cs="Times New Roman"/>
            <w:noProof/>
            <w:sz w:val="24"/>
            <w:szCs w:val="24"/>
          </w:rPr>
          <w:fldChar w:fldCharType="end"/>
        </w:r>
      </w:sdtContent>
    </w:sdt>
  </w:p>
  <w:p w:rsidR="001D2236" w:rsidRPr="002C4C91" w:rsidRDefault="001D223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D50"/>
    <w:rsid w:val="00033D13"/>
    <w:rsid w:val="00036298"/>
    <w:rsid w:val="00045F12"/>
    <w:rsid w:val="00055A5C"/>
    <w:rsid w:val="00077FA4"/>
    <w:rsid w:val="00082239"/>
    <w:rsid w:val="000831E9"/>
    <w:rsid w:val="000A3BF3"/>
    <w:rsid w:val="000E0DFB"/>
    <w:rsid w:val="000F1F14"/>
    <w:rsid w:val="001110CB"/>
    <w:rsid w:val="00111D2E"/>
    <w:rsid w:val="00120D45"/>
    <w:rsid w:val="00147767"/>
    <w:rsid w:val="001536EA"/>
    <w:rsid w:val="0016000C"/>
    <w:rsid w:val="00161E63"/>
    <w:rsid w:val="0016794C"/>
    <w:rsid w:val="001B1D62"/>
    <w:rsid w:val="001D2236"/>
    <w:rsid w:val="001E3612"/>
    <w:rsid w:val="001F667B"/>
    <w:rsid w:val="002103F9"/>
    <w:rsid w:val="00235811"/>
    <w:rsid w:val="00247D50"/>
    <w:rsid w:val="002658E4"/>
    <w:rsid w:val="00277C99"/>
    <w:rsid w:val="002835DB"/>
    <w:rsid w:val="002B307A"/>
    <w:rsid w:val="002B4659"/>
    <w:rsid w:val="002C4C91"/>
    <w:rsid w:val="003316D5"/>
    <w:rsid w:val="003452CC"/>
    <w:rsid w:val="00362BBB"/>
    <w:rsid w:val="00381070"/>
    <w:rsid w:val="0038202A"/>
    <w:rsid w:val="00382A8B"/>
    <w:rsid w:val="00383406"/>
    <w:rsid w:val="003847FA"/>
    <w:rsid w:val="003A1EDF"/>
    <w:rsid w:val="003D46CF"/>
    <w:rsid w:val="003F7659"/>
    <w:rsid w:val="0041732A"/>
    <w:rsid w:val="00432169"/>
    <w:rsid w:val="0043318D"/>
    <w:rsid w:val="004755A3"/>
    <w:rsid w:val="004939D4"/>
    <w:rsid w:val="00493B6D"/>
    <w:rsid w:val="004A1658"/>
    <w:rsid w:val="004F136D"/>
    <w:rsid w:val="00507584"/>
    <w:rsid w:val="005234F7"/>
    <w:rsid w:val="00523C68"/>
    <w:rsid w:val="005250D7"/>
    <w:rsid w:val="00544D1A"/>
    <w:rsid w:val="00590C7C"/>
    <w:rsid w:val="005B1675"/>
    <w:rsid w:val="005C7610"/>
    <w:rsid w:val="005D1EE1"/>
    <w:rsid w:val="00602C64"/>
    <w:rsid w:val="0060344F"/>
    <w:rsid w:val="00613EC6"/>
    <w:rsid w:val="00624022"/>
    <w:rsid w:val="00661A9E"/>
    <w:rsid w:val="0067254E"/>
    <w:rsid w:val="006738D0"/>
    <w:rsid w:val="00675EEF"/>
    <w:rsid w:val="006840C0"/>
    <w:rsid w:val="006D7956"/>
    <w:rsid w:val="0070404F"/>
    <w:rsid w:val="00715E3E"/>
    <w:rsid w:val="0074124D"/>
    <w:rsid w:val="00747F66"/>
    <w:rsid w:val="00770880"/>
    <w:rsid w:val="007741D8"/>
    <w:rsid w:val="007814D7"/>
    <w:rsid w:val="007850CC"/>
    <w:rsid w:val="00792F12"/>
    <w:rsid w:val="007C1495"/>
    <w:rsid w:val="007D1D65"/>
    <w:rsid w:val="007D5929"/>
    <w:rsid w:val="007E26F4"/>
    <w:rsid w:val="007F38D8"/>
    <w:rsid w:val="007F7EF3"/>
    <w:rsid w:val="00807C1C"/>
    <w:rsid w:val="00816DAB"/>
    <w:rsid w:val="00827F6A"/>
    <w:rsid w:val="0084486D"/>
    <w:rsid w:val="00851205"/>
    <w:rsid w:val="0085597A"/>
    <w:rsid w:val="0086159D"/>
    <w:rsid w:val="008A3D18"/>
    <w:rsid w:val="008A5E46"/>
    <w:rsid w:val="008B3E78"/>
    <w:rsid w:val="008B5DD8"/>
    <w:rsid w:val="008E2205"/>
    <w:rsid w:val="008F72EF"/>
    <w:rsid w:val="009056AA"/>
    <w:rsid w:val="009068C0"/>
    <w:rsid w:val="0091260B"/>
    <w:rsid w:val="00913654"/>
    <w:rsid w:val="009369EE"/>
    <w:rsid w:val="00954430"/>
    <w:rsid w:val="009A181C"/>
    <w:rsid w:val="009A506B"/>
    <w:rsid w:val="009B0C7A"/>
    <w:rsid w:val="009E1A84"/>
    <w:rsid w:val="00A00C34"/>
    <w:rsid w:val="00A2643B"/>
    <w:rsid w:val="00A312FA"/>
    <w:rsid w:val="00A47775"/>
    <w:rsid w:val="00A50483"/>
    <w:rsid w:val="00A85837"/>
    <w:rsid w:val="00A92BBD"/>
    <w:rsid w:val="00AC2DAD"/>
    <w:rsid w:val="00AC625F"/>
    <w:rsid w:val="00AC73B0"/>
    <w:rsid w:val="00AD2D47"/>
    <w:rsid w:val="00AD5CC0"/>
    <w:rsid w:val="00AF18AA"/>
    <w:rsid w:val="00AF39D3"/>
    <w:rsid w:val="00B12F68"/>
    <w:rsid w:val="00B35808"/>
    <w:rsid w:val="00B432F8"/>
    <w:rsid w:val="00B44B04"/>
    <w:rsid w:val="00B45C58"/>
    <w:rsid w:val="00B52BFE"/>
    <w:rsid w:val="00B92E36"/>
    <w:rsid w:val="00B975B0"/>
    <w:rsid w:val="00BA14E3"/>
    <w:rsid w:val="00BD4717"/>
    <w:rsid w:val="00BE7661"/>
    <w:rsid w:val="00C619FC"/>
    <w:rsid w:val="00C751A7"/>
    <w:rsid w:val="00CD31CF"/>
    <w:rsid w:val="00CD3E60"/>
    <w:rsid w:val="00CE4BCE"/>
    <w:rsid w:val="00CF1F0D"/>
    <w:rsid w:val="00CF1F0E"/>
    <w:rsid w:val="00D20C4E"/>
    <w:rsid w:val="00D240D3"/>
    <w:rsid w:val="00D82FF2"/>
    <w:rsid w:val="00D87815"/>
    <w:rsid w:val="00D97AE4"/>
    <w:rsid w:val="00DA1505"/>
    <w:rsid w:val="00DA254E"/>
    <w:rsid w:val="00DC1A04"/>
    <w:rsid w:val="00DC2837"/>
    <w:rsid w:val="00E03DC9"/>
    <w:rsid w:val="00E31AF3"/>
    <w:rsid w:val="00E65901"/>
    <w:rsid w:val="00EB6DDE"/>
    <w:rsid w:val="00F07830"/>
    <w:rsid w:val="00F10A84"/>
    <w:rsid w:val="00F338F8"/>
    <w:rsid w:val="00F3550A"/>
    <w:rsid w:val="00F5674A"/>
    <w:rsid w:val="00F66A57"/>
    <w:rsid w:val="00FB7957"/>
    <w:rsid w:val="00FC5E36"/>
    <w:rsid w:val="00FE09BA"/>
    <w:rsid w:val="00FF3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9CC2"/>
  <w15:chartTrackingRefBased/>
  <w15:docId w15:val="{695577CB-972B-4FC2-AB9C-D24F4E4A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A14E3"/>
    <w:rPr>
      <w:i/>
      <w:iCs/>
    </w:rPr>
  </w:style>
  <w:style w:type="character" w:styleId="Hyperlink">
    <w:name w:val="Hyperlink"/>
    <w:basedOn w:val="DefaultParagraphFont"/>
    <w:uiPriority w:val="99"/>
    <w:semiHidden/>
    <w:unhideWhenUsed/>
    <w:rsid w:val="00BA14E3"/>
    <w:rPr>
      <w:color w:val="0000FF"/>
      <w:u w:val="single"/>
    </w:rPr>
  </w:style>
  <w:style w:type="paragraph" w:styleId="NormalWeb">
    <w:name w:val="Normal (Web)"/>
    <w:basedOn w:val="Normal"/>
    <w:uiPriority w:val="99"/>
    <w:semiHidden/>
    <w:unhideWhenUsed/>
    <w:rsid w:val="00DA254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B3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07A"/>
  </w:style>
  <w:style w:type="paragraph" w:styleId="Footer">
    <w:name w:val="footer"/>
    <w:basedOn w:val="Normal"/>
    <w:link w:val="FooterChar"/>
    <w:uiPriority w:val="99"/>
    <w:unhideWhenUsed/>
    <w:rsid w:val="002B3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07A"/>
  </w:style>
  <w:style w:type="paragraph" w:styleId="Caption">
    <w:name w:val="caption"/>
    <w:basedOn w:val="Normal"/>
    <w:next w:val="Normal"/>
    <w:uiPriority w:val="35"/>
    <w:unhideWhenUsed/>
    <w:qFormat/>
    <w:rsid w:val="00A00C3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6</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157</cp:revision>
  <dcterms:created xsi:type="dcterms:W3CDTF">2021-04-04T12:26:00Z</dcterms:created>
  <dcterms:modified xsi:type="dcterms:W3CDTF">2021-04-04T21:57:00Z</dcterms:modified>
</cp:coreProperties>
</file>